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附件5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  <w:lang w:val="en-US" w:eastAsia="zh-CN"/>
        </w:rPr>
        <w:t>中南工程咨询设计集团投资开发有限公司副总经理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</w:rPr>
        <w:t>岗位业绩承诺评价计算规则</w:t>
      </w:r>
    </w:p>
    <w:p>
      <w:pPr>
        <w:overflowPunct w:val="0"/>
        <w:autoSpaceDN w:val="0"/>
        <w:spacing w:line="560" w:lineRule="exact"/>
        <w:ind w:firstLine="420" w:firstLineChars="200"/>
        <w:rPr>
          <w:highlight w:val="none"/>
        </w:rPr>
      </w:pPr>
    </w:p>
    <w:p>
      <w:pPr>
        <w:ind w:firstLine="640" w:firstLineChars="200"/>
        <w:rPr>
          <w:rFonts w:hint="eastAsia" w:ascii="仿宋" w:hAnsi="仿宋" w:eastAsia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  <w:highlight w:val="none"/>
        </w:rPr>
        <w:t>根据</w:t>
      </w:r>
      <w:r>
        <w:rPr>
          <w:rFonts w:hint="eastAsia" w:ascii="仿宋" w:hAnsi="仿宋" w:eastAsia="仿宋"/>
          <w:bCs/>
          <w:sz w:val="32"/>
          <w:szCs w:val="32"/>
          <w:highlight w:val="none"/>
          <w:lang w:val="en-US" w:eastAsia="zh-CN"/>
        </w:rPr>
        <w:t>报名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者业</w:t>
      </w:r>
      <w:r>
        <w:rPr>
          <w:rFonts w:hint="eastAsia" w:ascii="仿宋" w:hAnsi="仿宋" w:eastAsia="仿宋"/>
          <w:bCs/>
          <w:sz w:val="32"/>
          <w:szCs w:val="32"/>
          <w:highlight w:val="none"/>
          <w:lang w:val="en-US" w:eastAsia="zh-CN"/>
        </w:rPr>
        <w:t>绩承诺值与基准值的正偏离度计算业绩承诺评价得分。</w:t>
      </w:r>
    </w:p>
    <w:p>
      <w:pPr>
        <w:overflowPunct w:val="0"/>
        <w:autoSpaceDN w:val="0"/>
        <w:spacing w:line="560" w:lineRule="exact"/>
        <w:ind w:firstLine="640" w:firstLineChars="200"/>
        <w:rPr>
          <w:rFonts w:ascii="仿宋" w:hAnsi="仿宋" w:eastAsia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sz w:val="32"/>
          <w:szCs w:val="32"/>
          <w:highlight w:val="none"/>
        </w:rPr>
        <w:t>业绩承诺上限</w:t>
      </w:r>
      <w:r>
        <w:rPr>
          <w:rFonts w:ascii="仿宋" w:hAnsi="仿宋" w:eastAsia="仿宋"/>
          <w:bCs/>
          <w:sz w:val="32"/>
          <w:szCs w:val="32"/>
          <w:highlight w:val="none"/>
        </w:rPr>
        <w:t>值为基准值的1.2倍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。</w:t>
      </w:r>
    </w:p>
    <w:p>
      <w:pPr>
        <w:overflowPunct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sz w:val="32"/>
          <w:szCs w:val="32"/>
          <w:highlight w:val="none"/>
        </w:rPr>
        <w:t>业绩承诺评价得分=</w:t>
      </w:r>
      <w:r>
        <w:rPr>
          <w:rFonts w:hint="eastAsia" w:ascii="仿宋" w:hAnsi="仿宋" w:eastAsia="仿宋"/>
          <w:bCs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+</w:t>
      </w:r>
      <w:r>
        <w:rPr>
          <w:rFonts w:hint="eastAsia" w:ascii="仿宋" w:hAnsi="仿宋" w:eastAsia="仿宋"/>
          <w:bCs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×（承诺值-基准值）÷（上限</w:t>
      </w:r>
      <w:r>
        <w:rPr>
          <w:rFonts w:hint="eastAsia" w:ascii="仿宋" w:hAnsi="仿宋" w:eastAsia="仿宋" w:cs="Times New Roman"/>
          <w:bCs/>
          <w:sz w:val="32"/>
          <w:szCs w:val="32"/>
          <w:highlight w:val="none"/>
        </w:rPr>
        <w:t>值-基准值）</w:t>
      </w:r>
      <w:bookmarkStart w:id="0" w:name="_GoBack"/>
      <w:bookmarkEnd w:id="0"/>
    </w:p>
    <w:p>
      <w:pPr>
        <w:overflowPunct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bCs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bCs/>
          <w:sz w:val="32"/>
          <w:szCs w:val="32"/>
          <w:highlight w:val="none"/>
        </w:rPr>
        <w:t>业绩承诺值低于基准值的，本项不计分。</w:t>
      </w:r>
    </w:p>
    <w:p>
      <w:pPr>
        <w:overflowPunct w:val="0"/>
        <w:autoSpaceDN w:val="0"/>
        <w:spacing w:line="560" w:lineRule="exact"/>
        <w:ind w:firstLine="640" w:firstLineChars="200"/>
      </w:pPr>
      <w:r>
        <w:rPr>
          <w:rFonts w:hint="eastAsia" w:ascii="仿宋" w:hAnsi="仿宋" w:eastAsia="仿宋" w:cs="Times New Roman"/>
          <w:bCs/>
          <w:sz w:val="32"/>
          <w:szCs w:val="32"/>
          <w:highlight w:val="none"/>
          <w:lang w:val="en-US" w:eastAsia="zh-CN"/>
        </w:rPr>
        <w:t>各岗位业绩承诺基准值、上限值如下：</w:t>
      </w:r>
    </w:p>
    <w:p>
      <w:pPr>
        <w:rPr>
          <w:rFonts w:hint="eastAsia"/>
          <w:lang w:eastAsia="zh-CN"/>
        </w:rPr>
      </w:pPr>
    </w:p>
    <w:tbl>
      <w:tblPr>
        <w:tblStyle w:val="3"/>
        <w:tblW w:w="49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1"/>
        <w:gridCol w:w="37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7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竞争上岗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szCs w:val="24"/>
                <w:highlight w:val="none"/>
              </w:rPr>
              <w:t>单位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/部门</w:t>
            </w: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业绩承诺基准值</w:t>
            </w:r>
          </w:p>
          <w:p>
            <w:pPr>
              <w:pStyle w:val="2"/>
              <w:ind w:firstLine="0" w:firstLineChars="0"/>
              <w:jc w:val="center"/>
              <w:rPr>
                <w:rFonts w:hint="eastAsia" w:eastAsiaTheme="minorEastAsia"/>
                <w:highlight w:val="none"/>
                <w:lang w:eastAsia="zh-CN" w:bidi="ar"/>
              </w:rPr>
            </w:pPr>
            <w:r>
              <w:rPr>
                <w:rFonts w:hint="eastAsia"/>
                <w:highlight w:val="none"/>
                <w:lang w:val="en-US" w:eastAsia="zh-CN" w:bidi="ar"/>
              </w:rPr>
              <w:t>A（第一年）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highlight w:val="none"/>
                <w:lang w:val="en-US" w:eastAsia="zh-CN"/>
              </w:rPr>
              <w:t>中南工程咨询设计集团投资开发有限公司副总经理</w:t>
            </w:r>
          </w:p>
        </w:tc>
        <w:tc>
          <w:tcPr>
            <w:tcW w:w="2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发行50亿元基金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C2B4EF-924B-48DF-9EEB-94D32DA1D0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9C7243C0-203F-4811-BA36-20972D4CB11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4631827-3CFF-448B-8DC6-53F662559D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Yjc4MTgzZWMyMTg2MzNiZDc4NjQ1MDJlODRmZjgifQ=="/>
    <w:docVar w:name="KSO_WPS_MARK_KEY" w:val="000f4bff-71b8-4cf3-9a46-d834f2a11cf9"/>
  </w:docVars>
  <w:rsids>
    <w:rsidRoot w:val="2BEA1EDE"/>
    <w:rsid w:val="2BEA1EDE"/>
    <w:rsid w:val="615D53ED"/>
    <w:rsid w:val="71867991"/>
    <w:rsid w:val="7941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207</Characters>
  <Lines>0</Lines>
  <Paragraphs>0</Paragraphs>
  <TotalTime>0</TotalTime>
  <ScaleCrop>false</ScaleCrop>
  <LinksUpToDate>false</LinksUpToDate>
  <CharactersWithSpaces>207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2025-05-13T07:24:00Z</dcterms:created>
  <dc:creator>江婷婷</dc:creator>
  <cp:lastModifiedBy>陈若青</cp:lastModifiedBy>
  <dcterms:modified xsi:type="dcterms:W3CDTF">2026-01-04T08:28:40Z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D6D8427565774C919972253A447DC04E</vt:lpwstr>
  </property>
</Properties>
</file>